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2"/>
        <w:gridCol w:w="2323"/>
        <w:gridCol w:w="2340"/>
        <w:gridCol w:w="2187"/>
        <w:tblGridChange w:id="0">
          <w:tblGrid>
            <w:gridCol w:w="2392"/>
            <w:gridCol w:w="2323"/>
            <w:gridCol w:w="2340"/>
            <w:gridCol w:w="218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 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DoB: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of needs: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99"/>
        <w:tblGridChange w:id="0">
          <w:tblGrid>
            <w:gridCol w:w="2943"/>
            <w:gridCol w:w="6299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 of Need: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strategies: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Cognition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Sensory and Physical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and Interaction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Social, Mental and Emotional Health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Provision and intervention: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Targets: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Personalised strategies in school: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 at home: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jc w:val="center"/>
      <w:rPr>
        <w:rFonts w:ascii="Calibri" w:cs="Calibri" w:eastAsia="Calibri" w:hAnsi="Calibri"/>
        <w:b w:val="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0"/>
        <w:sz w:val="28"/>
        <w:szCs w:val="28"/>
        <w:rtl w:val="0"/>
      </w:rPr>
      <w:t xml:space="preserve">SEN SUPPORT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