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567C3" w14:textId="77777777" w:rsidR="00EA2D5B" w:rsidRDefault="00EA2D5B" w:rsidP="004737D2">
      <w:pPr>
        <w:ind w:left="-851" w:right="-926"/>
        <w:jc w:val="both"/>
      </w:pPr>
      <w:bookmarkStart w:id="0" w:name="_GoBack"/>
      <w:bookmarkEnd w:id="0"/>
      <w:r>
        <w:t xml:space="preserve">Below is an example of what you could plan and consider for your Recovery Plan. This is to help you plan strategically for a return to school. These are prompts and not an exhaustive list. You will need to tailor this to the needs of your pupils and your setting, and in line with any Government Guidance. </w:t>
      </w:r>
    </w:p>
    <w:tbl>
      <w:tblPr>
        <w:tblStyle w:val="TableGrid"/>
        <w:tblW w:w="15735" w:type="dxa"/>
        <w:tblInd w:w="-856" w:type="dxa"/>
        <w:tblLook w:val="04A0" w:firstRow="1" w:lastRow="0" w:firstColumn="1" w:lastColumn="0" w:noHBand="0" w:noVBand="1"/>
      </w:tblPr>
      <w:tblGrid>
        <w:gridCol w:w="1985"/>
        <w:gridCol w:w="5673"/>
        <w:gridCol w:w="2692"/>
        <w:gridCol w:w="2692"/>
        <w:gridCol w:w="2693"/>
      </w:tblGrid>
      <w:tr w:rsidR="004737D2" w14:paraId="723DC470" w14:textId="77777777" w:rsidTr="00C7515B">
        <w:tc>
          <w:tcPr>
            <w:tcW w:w="1985" w:type="dxa"/>
            <w:shd w:val="clear" w:color="auto" w:fill="009999"/>
          </w:tcPr>
          <w:p w14:paraId="2E4A7969" w14:textId="77777777" w:rsidR="00A61B65" w:rsidRPr="0037607C" w:rsidRDefault="00A61B65" w:rsidP="00A61B65">
            <w:pPr>
              <w:pStyle w:val="Heading1"/>
              <w:tabs>
                <w:tab w:val="left" w:pos="1134"/>
              </w:tabs>
              <w:outlineLvl w:val="0"/>
              <w:rPr>
                <w:rFonts w:asciiTheme="minorHAnsi" w:hAnsiTheme="minorHAnsi"/>
                <w:color w:val="FFFFFF" w:themeColor="background1"/>
                <w:sz w:val="24"/>
                <w:szCs w:val="24"/>
              </w:rPr>
            </w:pPr>
            <w:r w:rsidRPr="0037607C">
              <w:rPr>
                <w:rFonts w:asciiTheme="minorHAnsi" w:hAnsiTheme="minorHAnsi"/>
                <w:color w:val="FFFFFF" w:themeColor="background1"/>
                <w:sz w:val="24"/>
                <w:szCs w:val="24"/>
              </w:rPr>
              <w:t>Key area</w:t>
            </w:r>
            <w:r w:rsidR="0084444B" w:rsidRPr="0037607C">
              <w:rPr>
                <w:rFonts w:asciiTheme="minorHAnsi" w:hAnsiTheme="minorHAnsi"/>
                <w:color w:val="FFFFFF" w:themeColor="background1"/>
                <w:sz w:val="24"/>
                <w:szCs w:val="24"/>
              </w:rPr>
              <w:t>s</w:t>
            </w:r>
          </w:p>
        </w:tc>
        <w:tc>
          <w:tcPr>
            <w:tcW w:w="5673" w:type="dxa"/>
            <w:shd w:val="clear" w:color="auto" w:fill="009999"/>
          </w:tcPr>
          <w:p w14:paraId="7A207540" w14:textId="77777777" w:rsidR="00A61B65" w:rsidRPr="00D7481D" w:rsidRDefault="00EA2D5B" w:rsidP="00C7635F">
            <w:pPr>
              <w:spacing w:after="240"/>
              <w:jc w:val="both"/>
              <w:rPr>
                <w:b/>
                <w:color w:val="FFFFFF" w:themeColor="background1"/>
                <w:sz w:val="24"/>
                <w:szCs w:val="24"/>
              </w:rPr>
            </w:pPr>
            <w:r>
              <w:rPr>
                <w:b/>
                <w:color w:val="FFFFFF" w:themeColor="background1"/>
                <w:sz w:val="24"/>
                <w:szCs w:val="24"/>
              </w:rPr>
              <w:t>What needs to be planned for</w:t>
            </w:r>
            <w:r w:rsidR="00A61B65" w:rsidRPr="00D7481D">
              <w:rPr>
                <w:b/>
                <w:color w:val="FFFFFF" w:themeColor="background1"/>
                <w:sz w:val="24"/>
                <w:szCs w:val="24"/>
              </w:rPr>
              <w:t>?</w:t>
            </w:r>
          </w:p>
        </w:tc>
        <w:tc>
          <w:tcPr>
            <w:tcW w:w="8077" w:type="dxa"/>
            <w:gridSpan w:val="3"/>
            <w:shd w:val="clear" w:color="auto" w:fill="009999"/>
          </w:tcPr>
          <w:p w14:paraId="4A3F1CB9" w14:textId="77777777" w:rsidR="00A61B65" w:rsidRPr="00D7481D" w:rsidRDefault="00D7481D" w:rsidP="00C7635F">
            <w:pPr>
              <w:spacing w:after="240"/>
              <w:jc w:val="both"/>
              <w:rPr>
                <w:b/>
                <w:color w:val="FFFFFF" w:themeColor="background1"/>
                <w:sz w:val="24"/>
                <w:szCs w:val="24"/>
              </w:rPr>
            </w:pPr>
            <w:r w:rsidRPr="00D7481D">
              <w:rPr>
                <w:b/>
                <w:color w:val="FFFFFF" w:themeColor="background1"/>
                <w:sz w:val="24"/>
                <w:szCs w:val="24"/>
              </w:rPr>
              <w:t>Agreed actions to support this</w:t>
            </w:r>
          </w:p>
        </w:tc>
      </w:tr>
      <w:tr w:rsidR="004737D2" w14:paraId="7B682A46" w14:textId="77777777" w:rsidTr="00C7515B">
        <w:tc>
          <w:tcPr>
            <w:tcW w:w="1985" w:type="dxa"/>
            <w:shd w:val="clear" w:color="auto" w:fill="009999"/>
          </w:tcPr>
          <w:p w14:paraId="46A5F7B8" w14:textId="77777777" w:rsidR="004737D2" w:rsidRPr="0037607C" w:rsidRDefault="004737D2" w:rsidP="00A61B65">
            <w:pPr>
              <w:pStyle w:val="Heading1"/>
              <w:tabs>
                <w:tab w:val="left" w:pos="1134"/>
              </w:tabs>
              <w:outlineLvl w:val="0"/>
              <w:rPr>
                <w:rFonts w:asciiTheme="minorHAnsi" w:hAnsiTheme="minorHAnsi"/>
                <w:color w:val="FFFFFF" w:themeColor="background1"/>
                <w:sz w:val="24"/>
                <w:szCs w:val="24"/>
              </w:rPr>
            </w:pPr>
          </w:p>
        </w:tc>
        <w:tc>
          <w:tcPr>
            <w:tcW w:w="5673" w:type="dxa"/>
            <w:shd w:val="clear" w:color="auto" w:fill="009999"/>
          </w:tcPr>
          <w:p w14:paraId="681D3192" w14:textId="77777777" w:rsidR="004737D2" w:rsidRDefault="004737D2" w:rsidP="00C7635F">
            <w:pPr>
              <w:spacing w:after="240"/>
              <w:jc w:val="both"/>
              <w:rPr>
                <w:b/>
                <w:color w:val="FFFFFF" w:themeColor="background1"/>
                <w:sz w:val="24"/>
                <w:szCs w:val="24"/>
              </w:rPr>
            </w:pPr>
          </w:p>
        </w:tc>
        <w:tc>
          <w:tcPr>
            <w:tcW w:w="2692" w:type="dxa"/>
            <w:shd w:val="clear" w:color="auto" w:fill="009999"/>
          </w:tcPr>
          <w:p w14:paraId="4303A52D" w14:textId="77777777" w:rsidR="008B0317" w:rsidRPr="00D7481D" w:rsidRDefault="004737D2" w:rsidP="00C7635F">
            <w:pPr>
              <w:spacing w:after="240"/>
              <w:jc w:val="both"/>
              <w:rPr>
                <w:b/>
                <w:color w:val="FFFFFF" w:themeColor="background1"/>
                <w:sz w:val="24"/>
                <w:szCs w:val="24"/>
              </w:rPr>
            </w:pPr>
            <w:r>
              <w:rPr>
                <w:b/>
                <w:color w:val="FFFFFF" w:themeColor="background1"/>
                <w:sz w:val="24"/>
                <w:szCs w:val="24"/>
              </w:rPr>
              <w:t>Short term – Phase 1</w:t>
            </w:r>
          </w:p>
        </w:tc>
        <w:tc>
          <w:tcPr>
            <w:tcW w:w="2692" w:type="dxa"/>
            <w:shd w:val="clear" w:color="auto" w:fill="009999"/>
          </w:tcPr>
          <w:p w14:paraId="7DE481D7" w14:textId="77777777" w:rsidR="004737D2" w:rsidRPr="00D7481D" w:rsidRDefault="004737D2" w:rsidP="00C7635F">
            <w:pPr>
              <w:spacing w:after="240"/>
              <w:jc w:val="both"/>
              <w:rPr>
                <w:b/>
                <w:color w:val="FFFFFF" w:themeColor="background1"/>
                <w:sz w:val="24"/>
                <w:szCs w:val="24"/>
              </w:rPr>
            </w:pPr>
            <w:r>
              <w:rPr>
                <w:b/>
                <w:color w:val="FFFFFF" w:themeColor="background1"/>
                <w:sz w:val="24"/>
                <w:szCs w:val="24"/>
              </w:rPr>
              <w:t>Medium term – Phase 2</w:t>
            </w:r>
          </w:p>
        </w:tc>
        <w:tc>
          <w:tcPr>
            <w:tcW w:w="2693" w:type="dxa"/>
            <w:shd w:val="clear" w:color="auto" w:fill="009999"/>
          </w:tcPr>
          <w:p w14:paraId="425614C9" w14:textId="77777777" w:rsidR="004737D2" w:rsidRPr="00D7481D" w:rsidRDefault="004737D2" w:rsidP="00C7635F">
            <w:pPr>
              <w:spacing w:after="240"/>
              <w:jc w:val="both"/>
              <w:rPr>
                <w:b/>
                <w:color w:val="FFFFFF" w:themeColor="background1"/>
                <w:sz w:val="24"/>
                <w:szCs w:val="24"/>
              </w:rPr>
            </w:pPr>
            <w:r>
              <w:rPr>
                <w:b/>
                <w:color w:val="FFFFFF" w:themeColor="background1"/>
                <w:sz w:val="24"/>
                <w:szCs w:val="24"/>
              </w:rPr>
              <w:t>Long term – Phase 3</w:t>
            </w:r>
          </w:p>
        </w:tc>
      </w:tr>
      <w:tr w:rsidR="004737D2" w:rsidRPr="00EA2D5B" w14:paraId="63FCEB87" w14:textId="77777777" w:rsidTr="00C7515B">
        <w:tc>
          <w:tcPr>
            <w:tcW w:w="1985" w:type="dxa"/>
            <w:shd w:val="clear" w:color="auto" w:fill="009999"/>
          </w:tcPr>
          <w:p w14:paraId="662AB5AA" w14:textId="77777777" w:rsidR="004737D2" w:rsidRPr="0037607C" w:rsidRDefault="004737D2" w:rsidP="00A61B65">
            <w:pPr>
              <w:pStyle w:val="Heading1"/>
              <w:tabs>
                <w:tab w:val="left" w:pos="1134"/>
              </w:tabs>
              <w:outlineLvl w:val="0"/>
              <w:rPr>
                <w:rFonts w:asciiTheme="minorHAnsi" w:hAnsiTheme="minorHAnsi"/>
                <w:color w:val="FFFFFF" w:themeColor="background1"/>
                <w:sz w:val="24"/>
                <w:szCs w:val="24"/>
              </w:rPr>
            </w:pPr>
            <w:r w:rsidRPr="0037607C">
              <w:rPr>
                <w:rFonts w:asciiTheme="minorHAnsi" w:hAnsiTheme="minorHAnsi"/>
                <w:color w:val="FFFFFF" w:themeColor="background1"/>
                <w:sz w:val="24"/>
                <w:szCs w:val="24"/>
              </w:rPr>
              <w:t>Planning for Needs of Pupils with SEND</w:t>
            </w:r>
          </w:p>
        </w:tc>
        <w:tc>
          <w:tcPr>
            <w:tcW w:w="5673" w:type="dxa"/>
          </w:tcPr>
          <w:p w14:paraId="0F882CE0" w14:textId="77777777" w:rsidR="004737D2" w:rsidRPr="00EA2D5B" w:rsidRDefault="004737D2" w:rsidP="00C7635F">
            <w:pPr>
              <w:spacing w:after="240"/>
              <w:jc w:val="both"/>
            </w:pPr>
            <w:r w:rsidRPr="00EA2D5B">
              <w:t xml:space="preserve">Consider the needs of your cohort of pupils and identify who your most vulnerable pupils are </w:t>
            </w:r>
          </w:p>
          <w:p w14:paraId="762E5959" w14:textId="77777777" w:rsidR="004737D2" w:rsidRPr="00EA2D5B" w:rsidRDefault="004737D2" w:rsidP="00C7635F">
            <w:pPr>
              <w:spacing w:after="240"/>
              <w:jc w:val="both"/>
            </w:pPr>
            <w:r w:rsidRPr="00EA2D5B">
              <w:t>Check that there are appropriate and up to date risk assessments in place for those pupils that need them</w:t>
            </w:r>
          </w:p>
          <w:p w14:paraId="6B26B293" w14:textId="77777777" w:rsidR="004737D2" w:rsidRPr="00EA2D5B" w:rsidRDefault="004737D2" w:rsidP="00C7635F">
            <w:pPr>
              <w:spacing w:after="240"/>
              <w:jc w:val="both"/>
            </w:pPr>
            <w:r w:rsidRPr="00EA2D5B">
              <w:t>Identify those that will need an Individual Reintegration Plan and a high level of support when returning to school</w:t>
            </w:r>
          </w:p>
          <w:p w14:paraId="469DAC5C" w14:textId="77777777" w:rsidR="004737D2" w:rsidRPr="00EA2D5B" w:rsidRDefault="004737D2" w:rsidP="00C7635F">
            <w:pPr>
              <w:spacing w:after="240"/>
              <w:jc w:val="both"/>
            </w:pPr>
            <w:r w:rsidRPr="00EA2D5B">
              <w:t>Consider a Reintegration Transition Programme that facilitates a graduated return, including graduated visits for those that may need it</w:t>
            </w:r>
          </w:p>
          <w:p w14:paraId="29EA221C" w14:textId="77777777" w:rsidR="004737D2" w:rsidRDefault="00F27ACA" w:rsidP="00C7635F">
            <w:pPr>
              <w:spacing w:after="240"/>
              <w:jc w:val="both"/>
            </w:pPr>
            <w:r>
              <w:t>Preparing</w:t>
            </w:r>
            <w:r w:rsidR="004737D2" w:rsidRPr="00EA2D5B">
              <w:t xml:space="preserve"> pupils for a different school / ‘new normal’ (e.g.: photos</w:t>
            </w:r>
            <w:r>
              <w:t xml:space="preserve"> of workspaces</w:t>
            </w:r>
            <w:r w:rsidR="004737D2" w:rsidRPr="00EA2D5B">
              <w:t xml:space="preserve">, </w:t>
            </w:r>
            <w:r>
              <w:t xml:space="preserve">additional </w:t>
            </w:r>
            <w:r w:rsidR="004737D2" w:rsidRPr="00EA2D5B">
              <w:t>visits, social stories</w:t>
            </w:r>
            <w:r>
              <w:t xml:space="preserve"> etc</w:t>
            </w:r>
            <w:r w:rsidR="004737D2" w:rsidRPr="00EA2D5B">
              <w:t>)</w:t>
            </w:r>
          </w:p>
          <w:p w14:paraId="162B5A1A" w14:textId="77777777" w:rsidR="008B0317" w:rsidRDefault="008B0317" w:rsidP="00C7635F">
            <w:pPr>
              <w:spacing w:after="240"/>
              <w:jc w:val="both"/>
            </w:pPr>
            <w:r>
              <w:t xml:space="preserve">Consider pupils with sensory needs and </w:t>
            </w:r>
            <w:r w:rsidR="00854C44">
              <w:t>what additional support they may need</w:t>
            </w:r>
            <w:r>
              <w:t xml:space="preserve"> (e.g.: reducing visual displays, </w:t>
            </w:r>
            <w:r w:rsidR="00F27ACA">
              <w:t>a designated safe space)</w:t>
            </w:r>
          </w:p>
          <w:p w14:paraId="182C4754" w14:textId="77777777" w:rsidR="00C7515B" w:rsidRPr="00EA2D5B" w:rsidRDefault="00C7515B" w:rsidP="00C7635F">
            <w:pPr>
              <w:spacing w:after="240"/>
              <w:jc w:val="both"/>
            </w:pPr>
            <w:r>
              <w:t>Consider what potential triggers may arise for pupils and plan for this</w:t>
            </w:r>
          </w:p>
        </w:tc>
        <w:tc>
          <w:tcPr>
            <w:tcW w:w="2692" w:type="dxa"/>
          </w:tcPr>
          <w:p w14:paraId="75B9179C" w14:textId="77777777" w:rsidR="004737D2" w:rsidRPr="00EA2D5B" w:rsidRDefault="004737D2" w:rsidP="00C7635F">
            <w:pPr>
              <w:spacing w:after="240"/>
              <w:jc w:val="both"/>
            </w:pPr>
          </w:p>
        </w:tc>
        <w:tc>
          <w:tcPr>
            <w:tcW w:w="2692" w:type="dxa"/>
          </w:tcPr>
          <w:p w14:paraId="58CBC16B" w14:textId="77777777" w:rsidR="004737D2" w:rsidRPr="00EA2D5B" w:rsidRDefault="004737D2" w:rsidP="00C7635F">
            <w:pPr>
              <w:spacing w:after="240"/>
              <w:jc w:val="both"/>
            </w:pPr>
          </w:p>
        </w:tc>
        <w:tc>
          <w:tcPr>
            <w:tcW w:w="2693" w:type="dxa"/>
          </w:tcPr>
          <w:p w14:paraId="1BC8088E" w14:textId="77777777" w:rsidR="004737D2" w:rsidRPr="00EA2D5B" w:rsidRDefault="004737D2" w:rsidP="00C7635F">
            <w:pPr>
              <w:spacing w:after="240"/>
              <w:jc w:val="both"/>
            </w:pPr>
          </w:p>
        </w:tc>
      </w:tr>
      <w:tr w:rsidR="004737D2" w:rsidRPr="00EA2D5B" w14:paraId="6678FEF9" w14:textId="77777777" w:rsidTr="00C7515B">
        <w:tc>
          <w:tcPr>
            <w:tcW w:w="1985" w:type="dxa"/>
            <w:shd w:val="clear" w:color="auto" w:fill="009999"/>
          </w:tcPr>
          <w:p w14:paraId="78E47FDE" w14:textId="77777777" w:rsidR="004737D2" w:rsidRPr="0037607C" w:rsidRDefault="004737D2" w:rsidP="00A61B65">
            <w:pPr>
              <w:pStyle w:val="Heading1"/>
              <w:tabs>
                <w:tab w:val="left" w:pos="1134"/>
              </w:tabs>
              <w:outlineLvl w:val="0"/>
              <w:rPr>
                <w:rFonts w:asciiTheme="minorHAnsi" w:hAnsiTheme="minorHAnsi"/>
                <w:color w:val="FFFFFF" w:themeColor="background1"/>
                <w:sz w:val="24"/>
                <w:szCs w:val="24"/>
              </w:rPr>
            </w:pPr>
            <w:r w:rsidRPr="0037607C">
              <w:rPr>
                <w:rFonts w:asciiTheme="minorHAnsi" w:hAnsiTheme="minorHAnsi"/>
                <w:color w:val="FFFFFF" w:themeColor="background1"/>
                <w:sz w:val="24"/>
                <w:szCs w:val="24"/>
              </w:rPr>
              <w:t>Pupil and Family Wellbeing</w:t>
            </w:r>
          </w:p>
          <w:p w14:paraId="710A6214" w14:textId="77777777" w:rsidR="004737D2" w:rsidRPr="0037607C" w:rsidRDefault="004737D2" w:rsidP="00C7635F">
            <w:pPr>
              <w:spacing w:after="240"/>
              <w:jc w:val="both"/>
              <w:rPr>
                <w:rFonts w:cstheme="minorHAnsi"/>
                <w:sz w:val="24"/>
                <w:szCs w:val="24"/>
              </w:rPr>
            </w:pPr>
          </w:p>
        </w:tc>
        <w:tc>
          <w:tcPr>
            <w:tcW w:w="5673" w:type="dxa"/>
          </w:tcPr>
          <w:p w14:paraId="366191FA" w14:textId="77777777" w:rsidR="004737D2" w:rsidRDefault="004737D2" w:rsidP="00C7635F">
            <w:pPr>
              <w:spacing w:after="240"/>
              <w:jc w:val="both"/>
            </w:pPr>
            <w:r w:rsidRPr="00EA2D5B">
              <w:lastRenderedPageBreak/>
              <w:t xml:space="preserve">Ensure you gather the voice of pupils and their families </w:t>
            </w:r>
            <w:r w:rsidR="00F27ACA">
              <w:t xml:space="preserve">in </w:t>
            </w:r>
            <w:r w:rsidR="00C7515B">
              <w:t xml:space="preserve">a </w:t>
            </w:r>
            <w:r w:rsidR="00F27ACA">
              <w:t>way that is supportive and appropriate to them (e.g.: survey or</w:t>
            </w:r>
            <w:r w:rsidRPr="00EA2D5B">
              <w:t xml:space="preserve"> questionnaire, p</w:t>
            </w:r>
            <w:r w:rsidR="00F27ACA">
              <w:t>hone calls or a virtual meeting)</w:t>
            </w:r>
          </w:p>
          <w:p w14:paraId="5829EF46" w14:textId="77777777" w:rsidR="00601C07" w:rsidRDefault="00601C07" w:rsidP="00C7635F">
            <w:pPr>
              <w:spacing w:after="240"/>
              <w:jc w:val="both"/>
            </w:pPr>
            <w:r>
              <w:lastRenderedPageBreak/>
              <w:t>Prepare pupils for their return to school. This could be through graduated visits, resources to support their understanding of how things will be different</w:t>
            </w:r>
          </w:p>
          <w:p w14:paraId="5BCD26E5" w14:textId="77777777" w:rsidR="00601C07" w:rsidRPr="00EA2D5B" w:rsidRDefault="00601C07" w:rsidP="00C7635F">
            <w:pPr>
              <w:spacing w:after="240"/>
              <w:jc w:val="both"/>
            </w:pPr>
            <w:r>
              <w:t>Ensure pupils know what to do if they feel they are not coping during the school day</w:t>
            </w:r>
            <w:r w:rsidR="00571A7B">
              <w:t xml:space="preserve"> and this is shared with their families</w:t>
            </w:r>
          </w:p>
          <w:p w14:paraId="685A108E" w14:textId="77777777" w:rsidR="00601C07" w:rsidRDefault="00601C07" w:rsidP="00C7635F">
            <w:pPr>
              <w:spacing w:after="240"/>
              <w:jc w:val="both"/>
            </w:pPr>
            <w:r>
              <w:t>Prepare parents/carers for what to expect and how they can support (e.g.: what equipment to bring into school, what stays at school, procedures for arriving and collecting from school, etc)</w:t>
            </w:r>
          </w:p>
          <w:p w14:paraId="623A10F8" w14:textId="77777777" w:rsidR="004737D2" w:rsidRPr="00EA2D5B" w:rsidRDefault="004737D2" w:rsidP="00C7635F">
            <w:pPr>
              <w:spacing w:after="240"/>
              <w:jc w:val="both"/>
            </w:pPr>
            <w:r w:rsidRPr="00EA2D5B">
              <w:t>Ensure clea</w:t>
            </w:r>
            <w:r w:rsidR="00F27ACA">
              <w:t>r lines of support are in place to support families such as</w:t>
            </w:r>
            <w:r w:rsidRPr="00EA2D5B">
              <w:t xml:space="preserve"> identify</w:t>
            </w:r>
            <w:r w:rsidR="00F27ACA">
              <w:t>ing</w:t>
            </w:r>
            <w:r w:rsidRPr="00EA2D5B">
              <w:t xml:space="preserve"> a key person who will be the main point of contact</w:t>
            </w:r>
          </w:p>
          <w:p w14:paraId="68A9DDD2" w14:textId="77777777" w:rsidR="004737D2" w:rsidRDefault="00F27ACA" w:rsidP="00C7635F">
            <w:pPr>
              <w:spacing w:after="240"/>
              <w:jc w:val="both"/>
            </w:pPr>
            <w:r>
              <w:t>Establish r</w:t>
            </w:r>
            <w:r w:rsidR="004737D2" w:rsidRPr="00EA2D5B">
              <w:t xml:space="preserve">egular communication with pupil and family in </w:t>
            </w:r>
            <w:r>
              <w:t xml:space="preserve">an </w:t>
            </w:r>
            <w:r w:rsidR="004737D2" w:rsidRPr="00EA2D5B">
              <w:t>agreed way</w:t>
            </w:r>
            <w:r w:rsidR="00C7515B">
              <w:t xml:space="preserve"> </w:t>
            </w:r>
            <w:r w:rsidR="00601C07">
              <w:t xml:space="preserve">that supports them </w:t>
            </w:r>
            <w:r w:rsidR="00C7515B">
              <w:t xml:space="preserve">(e.g.: </w:t>
            </w:r>
            <w:r w:rsidR="00601C07">
              <w:t>daily email, regular time to call</w:t>
            </w:r>
            <w:r w:rsidR="00C7515B">
              <w:t>)</w:t>
            </w:r>
          </w:p>
          <w:p w14:paraId="57AFB86D" w14:textId="77777777" w:rsidR="00601C07" w:rsidRDefault="00601C07" w:rsidP="00C7635F">
            <w:pPr>
              <w:spacing w:after="240"/>
              <w:jc w:val="both"/>
            </w:pPr>
            <w:r>
              <w:t>An agreed way to regularly ‘check in’ with the pupil to gather their views on their day</w:t>
            </w:r>
          </w:p>
          <w:p w14:paraId="0B430019" w14:textId="77777777" w:rsidR="004737D2" w:rsidRPr="00EA2D5B" w:rsidRDefault="004737D2" w:rsidP="00C7635F">
            <w:pPr>
              <w:spacing w:after="240"/>
              <w:jc w:val="both"/>
            </w:pPr>
            <w:r w:rsidRPr="00EA2D5B">
              <w:t xml:space="preserve">Liaise with Pastoral team (e.g.: HOY, Form tutors, etc) </w:t>
            </w:r>
            <w:r w:rsidR="00F27ACA">
              <w:t xml:space="preserve">to ensure any support is coordinated </w:t>
            </w:r>
          </w:p>
        </w:tc>
        <w:tc>
          <w:tcPr>
            <w:tcW w:w="2692" w:type="dxa"/>
          </w:tcPr>
          <w:p w14:paraId="24677209" w14:textId="77777777" w:rsidR="004737D2" w:rsidRPr="00EA2D5B" w:rsidRDefault="004737D2" w:rsidP="00C7635F">
            <w:pPr>
              <w:spacing w:after="240"/>
              <w:jc w:val="both"/>
            </w:pPr>
          </w:p>
        </w:tc>
        <w:tc>
          <w:tcPr>
            <w:tcW w:w="2692" w:type="dxa"/>
          </w:tcPr>
          <w:p w14:paraId="2F8E8A87" w14:textId="77777777" w:rsidR="004737D2" w:rsidRPr="00EA2D5B" w:rsidRDefault="004737D2" w:rsidP="00C7635F">
            <w:pPr>
              <w:spacing w:after="240"/>
              <w:jc w:val="both"/>
            </w:pPr>
          </w:p>
        </w:tc>
        <w:tc>
          <w:tcPr>
            <w:tcW w:w="2693" w:type="dxa"/>
          </w:tcPr>
          <w:p w14:paraId="0A652CEC" w14:textId="77777777" w:rsidR="004737D2" w:rsidRPr="00EA2D5B" w:rsidRDefault="004737D2" w:rsidP="00C7635F">
            <w:pPr>
              <w:spacing w:after="240"/>
              <w:jc w:val="both"/>
            </w:pPr>
          </w:p>
        </w:tc>
      </w:tr>
      <w:tr w:rsidR="004737D2" w:rsidRPr="00EA2D5B" w14:paraId="709F7E25" w14:textId="77777777" w:rsidTr="00C7515B">
        <w:tc>
          <w:tcPr>
            <w:tcW w:w="1985" w:type="dxa"/>
            <w:shd w:val="clear" w:color="auto" w:fill="009999"/>
          </w:tcPr>
          <w:p w14:paraId="4ADA7ADC" w14:textId="77777777" w:rsidR="004737D2" w:rsidRPr="008B0317" w:rsidRDefault="004737D2" w:rsidP="00A61B65">
            <w:pPr>
              <w:pStyle w:val="Heading1"/>
              <w:tabs>
                <w:tab w:val="left" w:pos="1134"/>
              </w:tabs>
              <w:outlineLvl w:val="0"/>
              <w:rPr>
                <w:rFonts w:asciiTheme="minorHAnsi" w:hAnsiTheme="minorHAnsi"/>
                <w:color w:val="FFFFFF" w:themeColor="background1"/>
                <w:sz w:val="24"/>
                <w:szCs w:val="24"/>
              </w:rPr>
            </w:pPr>
            <w:r w:rsidRPr="008B0317">
              <w:rPr>
                <w:rFonts w:asciiTheme="minorHAnsi" w:hAnsiTheme="minorHAnsi"/>
                <w:color w:val="FFFFFF" w:themeColor="background1"/>
                <w:sz w:val="24"/>
                <w:szCs w:val="24"/>
              </w:rPr>
              <w:t xml:space="preserve">Provision and Support  </w:t>
            </w:r>
          </w:p>
          <w:p w14:paraId="3AA8330C" w14:textId="77777777" w:rsidR="004737D2" w:rsidRPr="008B0317" w:rsidRDefault="004737D2" w:rsidP="00C7635F">
            <w:pPr>
              <w:spacing w:after="240"/>
              <w:jc w:val="both"/>
              <w:rPr>
                <w:rFonts w:cstheme="minorHAnsi"/>
                <w:sz w:val="24"/>
                <w:szCs w:val="24"/>
              </w:rPr>
            </w:pPr>
          </w:p>
        </w:tc>
        <w:tc>
          <w:tcPr>
            <w:tcW w:w="5673" w:type="dxa"/>
          </w:tcPr>
          <w:p w14:paraId="61BB2721" w14:textId="77777777" w:rsidR="004737D2" w:rsidRPr="00EA2D5B" w:rsidRDefault="004737D2" w:rsidP="00C7635F">
            <w:pPr>
              <w:spacing w:after="240"/>
              <w:jc w:val="both"/>
            </w:pPr>
            <w:r w:rsidRPr="00EA2D5B">
              <w:t xml:space="preserve">Establish which staff are available to </w:t>
            </w:r>
            <w:r w:rsidR="00F27ACA">
              <w:t xml:space="preserve">deliver </w:t>
            </w:r>
            <w:r w:rsidRPr="00EA2D5B">
              <w:t>support</w:t>
            </w:r>
          </w:p>
          <w:p w14:paraId="63D8F9AC" w14:textId="77777777" w:rsidR="004737D2" w:rsidRPr="00EA2D5B" w:rsidRDefault="004737D2" w:rsidP="00C7635F">
            <w:pPr>
              <w:spacing w:after="240"/>
              <w:jc w:val="both"/>
            </w:pPr>
            <w:r w:rsidRPr="00EA2D5B">
              <w:t>Timetable support staff</w:t>
            </w:r>
            <w:r w:rsidR="00F27ACA">
              <w:t xml:space="preserve"> to pupils </w:t>
            </w:r>
          </w:p>
          <w:p w14:paraId="15EF2FC7" w14:textId="77777777" w:rsidR="004737D2" w:rsidRPr="00EA2D5B" w:rsidRDefault="004737D2" w:rsidP="00C7635F">
            <w:pPr>
              <w:spacing w:after="240"/>
              <w:jc w:val="both"/>
            </w:pPr>
            <w:r w:rsidRPr="00EA2D5B">
              <w:t>Allocate key staff to pupils to support</w:t>
            </w:r>
            <w:r w:rsidR="00F27ACA">
              <w:t>, particularly where</w:t>
            </w:r>
            <w:r w:rsidRPr="00EA2D5B">
              <w:t xml:space="preserve"> Individual Reintegration Plans</w:t>
            </w:r>
            <w:r w:rsidR="00F27ACA">
              <w:t xml:space="preserve"> are in place</w:t>
            </w:r>
          </w:p>
          <w:p w14:paraId="1408952D" w14:textId="77777777" w:rsidR="004737D2" w:rsidRPr="00EA2D5B" w:rsidRDefault="004737D2" w:rsidP="00C7635F">
            <w:pPr>
              <w:spacing w:after="240"/>
              <w:jc w:val="both"/>
            </w:pPr>
            <w:r w:rsidRPr="00EA2D5B">
              <w:lastRenderedPageBreak/>
              <w:t>Consider what provision will need to be in place to support pupils’ return to school e.g.: reintegration programme to support a graduated return, ensuring there is a designated safe space available, wellbeing support, etc</w:t>
            </w:r>
          </w:p>
          <w:p w14:paraId="284F9573" w14:textId="77777777" w:rsidR="00C7515B" w:rsidRDefault="004737D2" w:rsidP="00C7515B">
            <w:pPr>
              <w:spacing w:after="240"/>
              <w:jc w:val="both"/>
            </w:pPr>
            <w:r w:rsidRPr="00EA2D5B">
              <w:t>Consider what provision will need to be in place in the short, me</w:t>
            </w:r>
            <w:r w:rsidR="00C7515B">
              <w:t>dium and long term, for example, in the s</w:t>
            </w:r>
            <w:r w:rsidRPr="00EA2D5B">
              <w:t>hort term</w:t>
            </w:r>
            <w:r w:rsidR="00C7515B">
              <w:t xml:space="preserve"> this may be: </w:t>
            </w:r>
            <w:r>
              <w:t xml:space="preserve">support </w:t>
            </w:r>
            <w:r w:rsidR="00C7515B">
              <w:t xml:space="preserve">with </w:t>
            </w:r>
            <w:r>
              <w:t xml:space="preserve">arriving and leaving school, a </w:t>
            </w:r>
            <w:r w:rsidRPr="00EA2D5B">
              <w:t>designated safe space, individual support</w:t>
            </w:r>
            <w:r w:rsidR="00C7515B">
              <w:t>.</w:t>
            </w:r>
          </w:p>
          <w:p w14:paraId="102515CD" w14:textId="77777777" w:rsidR="00C7515B" w:rsidRDefault="00C7515B" w:rsidP="00C7515B">
            <w:pPr>
              <w:spacing w:after="240"/>
              <w:jc w:val="both"/>
            </w:pPr>
            <w:r>
              <w:t>Consider what ‘</w:t>
            </w:r>
            <w:r w:rsidRPr="00C7515B">
              <w:rPr>
                <w:i/>
              </w:rPr>
              <w:t>reasonable endeavours’</w:t>
            </w:r>
            <w:r>
              <w:t xml:space="preserve"> can be made to facilitate provision on EHC Plans (in line with </w:t>
            </w:r>
            <w:r w:rsidR="00601C07">
              <w:t xml:space="preserve">latest </w:t>
            </w:r>
            <w:r>
              <w:t>Government Guidance)</w:t>
            </w:r>
          </w:p>
          <w:p w14:paraId="79C215B6" w14:textId="77777777" w:rsidR="004737D2" w:rsidRPr="00EA2D5B" w:rsidRDefault="00C7515B" w:rsidP="00C7515B">
            <w:pPr>
              <w:spacing w:after="240"/>
              <w:jc w:val="both"/>
            </w:pPr>
            <w:r>
              <w:t xml:space="preserve">Consider what </w:t>
            </w:r>
            <w:r w:rsidR="004737D2">
              <w:t xml:space="preserve">travel arrangements </w:t>
            </w:r>
            <w:r>
              <w:t xml:space="preserve">will be in place </w:t>
            </w:r>
            <w:r w:rsidR="004737D2">
              <w:t>for pupils</w:t>
            </w:r>
          </w:p>
        </w:tc>
        <w:tc>
          <w:tcPr>
            <w:tcW w:w="2692" w:type="dxa"/>
          </w:tcPr>
          <w:p w14:paraId="25C7E8D2" w14:textId="77777777" w:rsidR="004737D2" w:rsidRPr="00EA2D5B" w:rsidRDefault="004737D2" w:rsidP="00C7635F">
            <w:pPr>
              <w:spacing w:after="240"/>
              <w:jc w:val="both"/>
            </w:pPr>
          </w:p>
        </w:tc>
        <w:tc>
          <w:tcPr>
            <w:tcW w:w="2692" w:type="dxa"/>
          </w:tcPr>
          <w:p w14:paraId="013B83F4" w14:textId="77777777" w:rsidR="004737D2" w:rsidRPr="00EA2D5B" w:rsidRDefault="004737D2" w:rsidP="00C7635F">
            <w:pPr>
              <w:spacing w:after="240"/>
              <w:jc w:val="both"/>
            </w:pPr>
          </w:p>
        </w:tc>
        <w:tc>
          <w:tcPr>
            <w:tcW w:w="2693" w:type="dxa"/>
          </w:tcPr>
          <w:p w14:paraId="6341DBF0" w14:textId="77777777" w:rsidR="004737D2" w:rsidRPr="00EA2D5B" w:rsidRDefault="004737D2" w:rsidP="00C7635F">
            <w:pPr>
              <w:spacing w:after="240"/>
              <w:jc w:val="both"/>
            </w:pPr>
          </w:p>
        </w:tc>
      </w:tr>
      <w:tr w:rsidR="004737D2" w:rsidRPr="00EA2D5B" w14:paraId="15988F57" w14:textId="77777777" w:rsidTr="00C7515B">
        <w:tc>
          <w:tcPr>
            <w:tcW w:w="1985" w:type="dxa"/>
            <w:shd w:val="clear" w:color="auto" w:fill="009999"/>
          </w:tcPr>
          <w:p w14:paraId="31B755B1" w14:textId="77777777" w:rsidR="004737D2" w:rsidRPr="008B0317" w:rsidRDefault="004737D2" w:rsidP="00A61B65">
            <w:pPr>
              <w:pStyle w:val="Heading1"/>
              <w:tabs>
                <w:tab w:val="left" w:pos="1134"/>
              </w:tabs>
              <w:outlineLvl w:val="0"/>
              <w:rPr>
                <w:rFonts w:asciiTheme="minorHAnsi" w:hAnsiTheme="minorHAnsi"/>
                <w:color w:val="FFFFFF" w:themeColor="background1"/>
                <w:sz w:val="24"/>
                <w:szCs w:val="24"/>
              </w:rPr>
            </w:pPr>
            <w:r w:rsidRPr="008B0317">
              <w:rPr>
                <w:rFonts w:asciiTheme="minorHAnsi" w:hAnsiTheme="minorHAnsi"/>
                <w:color w:val="FFFFFF" w:themeColor="background1"/>
                <w:sz w:val="24"/>
                <w:szCs w:val="24"/>
              </w:rPr>
              <w:t>Curriculum Offer for Pupils with SEND</w:t>
            </w:r>
          </w:p>
          <w:p w14:paraId="615F31B4" w14:textId="77777777" w:rsidR="004737D2" w:rsidRPr="008B0317" w:rsidRDefault="004737D2" w:rsidP="00A61B65">
            <w:pPr>
              <w:pStyle w:val="Heading1"/>
              <w:tabs>
                <w:tab w:val="left" w:pos="1134"/>
              </w:tabs>
              <w:outlineLvl w:val="0"/>
              <w:rPr>
                <w:rFonts w:asciiTheme="minorHAnsi" w:hAnsiTheme="minorHAnsi"/>
                <w:color w:val="FFFFFF" w:themeColor="background1"/>
                <w:sz w:val="24"/>
                <w:szCs w:val="24"/>
              </w:rPr>
            </w:pPr>
          </w:p>
        </w:tc>
        <w:tc>
          <w:tcPr>
            <w:tcW w:w="5673" w:type="dxa"/>
          </w:tcPr>
          <w:p w14:paraId="1C02AE65" w14:textId="77777777" w:rsidR="004737D2" w:rsidRPr="00EA2D5B" w:rsidRDefault="004737D2" w:rsidP="00C7635F">
            <w:pPr>
              <w:spacing w:after="240"/>
              <w:jc w:val="both"/>
            </w:pPr>
            <w:r w:rsidRPr="00EA2D5B">
              <w:t>Plan for any ongoing home learning for identified pupils</w:t>
            </w:r>
          </w:p>
          <w:p w14:paraId="2DE910AA" w14:textId="77777777" w:rsidR="004737D2" w:rsidRPr="00EA2D5B" w:rsidRDefault="004737D2" w:rsidP="00C7635F">
            <w:pPr>
              <w:spacing w:after="240"/>
              <w:jc w:val="both"/>
            </w:pPr>
            <w:r w:rsidRPr="00EA2D5B">
              <w:t xml:space="preserve">Plan </w:t>
            </w:r>
            <w:r>
              <w:t xml:space="preserve">for </w:t>
            </w:r>
            <w:r w:rsidRPr="00EA2D5B">
              <w:t xml:space="preserve">what curriculum will be available </w:t>
            </w:r>
            <w:r>
              <w:t>(e.g.: a greater focus on wellbeing in the first phase and</w:t>
            </w:r>
            <w:r w:rsidR="00601C07">
              <w:t xml:space="preserve"> activities around</w:t>
            </w:r>
            <w:r>
              <w:t xml:space="preserve"> topics of interest)</w:t>
            </w:r>
          </w:p>
          <w:p w14:paraId="61311788" w14:textId="77777777" w:rsidR="004737D2" w:rsidRPr="00EA2D5B" w:rsidRDefault="004737D2" w:rsidP="00C7635F">
            <w:pPr>
              <w:spacing w:after="240"/>
              <w:jc w:val="both"/>
            </w:pPr>
            <w:r>
              <w:t xml:space="preserve">Plan for how </w:t>
            </w:r>
            <w:r w:rsidR="00601C07">
              <w:t xml:space="preserve">work </w:t>
            </w:r>
            <w:r>
              <w:t>will be differentiated</w:t>
            </w:r>
          </w:p>
          <w:p w14:paraId="3360AB14" w14:textId="77777777" w:rsidR="004737D2" w:rsidRPr="00EA2D5B" w:rsidRDefault="00601C07" w:rsidP="00C7635F">
            <w:pPr>
              <w:spacing w:after="240"/>
              <w:jc w:val="both"/>
            </w:pPr>
            <w:r>
              <w:t xml:space="preserve">Begin with </w:t>
            </w:r>
            <w:r w:rsidR="004737D2">
              <w:t>act</w:t>
            </w:r>
            <w:r w:rsidR="004737D2" w:rsidRPr="00EA2D5B">
              <w:t>ivities</w:t>
            </w:r>
            <w:r w:rsidR="004737D2">
              <w:t xml:space="preserve"> to support wellbeing</w:t>
            </w:r>
            <w:r>
              <w:t xml:space="preserve"> and to help pupils settle</w:t>
            </w:r>
            <w:r w:rsidR="004737D2">
              <w:t xml:space="preserve"> </w:t>
            </w:r>
          </w:p>
          <w:p w14:paraId="1E8FDC9C" w14:textId="77777777" w:rsidR="004737D2" w:rsidRDefault="004737D2" w:rsidP="00C7635F">
            <w:pPr>
              <w:spacing w:after="240"/>
              <w:jc w:val="both"/>
            </w:pPr>
            <w:r>
              <w:t xml:space="preserve">Link with </w:t>
            </w:r>
            <w:r w:rsidRPr="00EA2D5B">
              <w:t xml:space="preserve">Curriculum </w:t>
            </w:r>
            <w:r>
              <w:t>Leads (HODs) to support with planning and preparing materials</w:t>
            </w:r>
          </w:p>
          <w:p w14:paraId="100F04F2" w14:textId="77777777" w:rsidR="00601C07" w:rsidRPr="00EA2D5B" w:rsidRDefault="00601C07" w:rsidP="00C7635F">
            <w:pPr>
              <w:spacing w:after="240"/>
              <w:jc w:val="both"/>
            </w:pPr>
            <w:r>
              <w:t>Link support staff with curriculum areas</w:t>
            </w:r>
          </w:p>
        </w:tc>
        <w:tc>
          <w:tcPr>
            <w:tcW w:w="2692" w:type="dxa"/>
          </w:tcPr>
          <w:p w14:paraId="2B3D7B34" w14:textId="77777777" w:rsidR="004737D2" w:rsidRPr="00EA2D5B" w:rsidRDefault="004737D2" w:rsidP="00C7635F">
            <w:pPr>
              <w:spacing w:after="240"/>
              <w:jc w:val="both"/>
            </w:pPr>
          </w:p>
        </w:tc>
        <w:tc>
          <w:tcPr>
            <w:tcW w:w="2692" w:type="dxa"/>
          </w:tcPr>
          <w:p w14:paraId="70AC31B6" w14:textId="77777777" w:rsidR="004737D2" w:rsidRPr="00EA2D5B" w:rsidRDefault="004737D2" w:rsidP="00C7635F">
            <w:pPr>
              <w:spacing w:after="240"/>
              <w:jc w:val="both"/>
            </w:pPr>
          </w:p>
        </w:tc>
        <w:tc>
          <w:tcPr>
            <w:tcW w:w="2693" w:type="dxa"/>
          </w:tcPr>
          <w:p w14:paraId="18FBF952" w14:textId="77777777" w:rsidR="004737D2" w:rsidRPr="00EA2D5B" w:rsidRDefault="004737D2" w:rsidP="00C7635F">
            <w:pPr>
              <w:spacing w:after="240"/>
              <w:jc w:val="both"/>
            </w:pPr>
          </w:p>
        </w:tc>
      </w:tr>
      <w:tr w:rsidR="004737D2" w:rsidRPr="00EA2D5B" w14:paraId="5CD98AD6" w14:textId="77777777" w:rsidTr="00C7515B">
        <w:tc>
          <w:tcPr>
            <w:tcW w:w="1985" w:type="dxa"/>
            <w:shd w:val="clear" w:color="auto" w:fill="009999"/>
          </w:tcPr>
          <w:p w14:paraId="18BFBA33" w14:textId="77777777" w:rsidR="004737D2" w:rsidRPr="008B0317" w:rsidRDefault="004737D2" w:rsidP="00A61B65">
            <w:pPr>
              <w:pStyle w:val="Heading1"/>
              <w:tabs>
                <w:tab w:val="left" w:pos="1134"/>
              </w:tabs>
              <w:outlineLvl w:val="0"/>
              <w:rPr>
                <w:rFonts w:asciiTheme="minorHAnsi" w:hAnsiTheme="minorHAnsi"/>
                <w:color w:val="FFFFFF" w:themeColor="background1"/>
                <w:sz w:val="24"/>
                <w:szCs w:val="24"/>
              </w:rPr>
            </w:pPr>
            <w:r w:rsidRPr="008B0317">
              <w:rPr>
                <w:rFonts w:asciiTheme="minorHAnsi" w:hAnsiTheme="minorHAnsi"/>
                <w:color w:val="FFFFFF" w:themeColor="background1"/>
                <w:sz w:val="24"/>
                <w:szCs w:val="24"/>
              </w:rPr>
              <w:lastRenderedPageBreak/>
              <w:t>Preparing and supporting your SEN/Inclusion team</w:t>
            </w:r>
          </w:p>
          <w:p w14:paraId="0E56F5D8" w14:textId="77777777" w:rsidR="004737D2" w:rsidRPr="008B0317" w:rsidRDefault="004737D2" w:rsidP="00C7635F">
            <w:pPr>
              <w:spacing w:after="240"/>
              <w:jc w:val="both"/>
              <w:rPr>
                <w:rFonts w:cstheme="minorHAnsi"/>
                <w:sz w:val="24"/>
                <w:szCs w:val="24"/>
              </w:rPr>
            </w:pPr>
          </w:p>
          <w:p w14:paraId="3922259A" w14:textId="77777777" w:rsidR="004737D2" w:rsidRPr="008B0317" w:rsidRDefault="004737D2" w:rsidP="00C7635F">
            <w:pPr>
              <w:spacing w:after="240"/>
              <w:jc w:val="both"/>
              <w:rPr>
                <w:rFonts w:cstheme="minorHAnsi"/>
                <w:sz w:val="24"/>
                <w:szCs w:val="24"/>
              </w:rPr>
            </w:pPr>
          </w:p>
        </w:tc>
        <w:tc>
          <w:tcPr>
            <w:tcW w:w="5673" w:type="dxa"/>
          </w:tcPr>
          <w:p w14:paraId="6E095F62" w14:textId="77777777" w:rsidR="004737D2" w:rsidRPr="00EA2D5B" w:rsidRDefault="004737D2" w:rsidP="00C7635F">
            <w:pPr>
              <w:spacing w:after="240"/>
              <w:jc w:val="both"/>
            </w:pPr>
            <w:r>
              <w:t xml:space="preserve">Consider a programme of </w:t>
            </w:r>
            <w:r w:rsidRPr="00EA2D5B">
              <w:t xml:space="preserve">CPD / training to </w:t>
            </w:r>
            <w:r>
              <w:t>support staff with preparing</w:t>
            </w:r>
            <w:r w:rsidRPr="00EA2D5B">
              <w:t xml:space="preserve"> for </w:t>
            </w:r>
            <w:r>
              <w:t xml:space="preserve">their </w:t>
            </w:r>
            <w:r w:rsidRPr="00EA2D5B">
              <w:t>return</w:t>
            </w:r>
            <w:r>
              <w:t xml:space="preserve"> to school (e.g.: </w:t>
            </w:r>
            <w:r w:rsidR="00601C07">
              <w:t xml:space="preserve">Emotion Coaching, </w:t>
            </w:r>
            <w:proofErr w:type="spellStart"/>
            <w:r>
              <w:t>Schudio</w:t>
            </w:r>
            <w:proofErr w:type="spellEnd"/>
            <w:r>
              <w:t xml:space="preserve"> TV)</w:t>
            </w:r>
          </w:p>
          <w:p w14:paraId="789D15A7" w14:textId="77777777" w:rsidR="004737D2" w:rsidRPr="00EA2D5B" w:rsidRDefault="004737D2" w:rsidP="00C7635F">
            <w:pPr>
              <w:spacing w:after="240"/>
              <w:jc w:val="both"/>
            </w:pPr>
            <w:r>
              <w:t xml:space="preserve">Consider what will be available to support staff wellbeing </w:t>
            </w:r>
          </w:p>
          <w:p w14:paraId="3D54ACF7" w14:textId="77777777" w:rsidR="004737D2" w:rsidRPr="00EA2D5B" w:rsidRDefault="004737D2" w:rsidP="00C7635F">
            <w:pPr>
              <w:spacing w:after="240"/>
              <w:jc w:val="both"/>
            </w:pPr>
            <w:r>
              <w:t>Create clear p</w:t>
            </w:r>
            <w:r w:rsidRPr="00EA2D5B">
              <w:t xml:space="preserve">rocedures for </w:t>
            </w:r>
            <w:r w:rsidR="00601C07">
              <w:t>how to support</w:t>
            </w:r>
            <w:r w:rsidRPr="00EA2D5B">
              <w:t xml:space="preserve"> pupils</w:t>
            </w:r>
            <w:r w:rsidR="00341CCE">
              <w:t xml:space="preserve"> in line with school policy</w:t>
            </w:r>
          </w:p>
          <w:p w14:paraId="747C5EF6" w14:textId="77777777" w:rsidR="004737D2" w:rsidRPr="00EA2D5B" w:rsidRDefault="00341CCE" w:rsidP="00C7635F">
            <w:pPr>
              <w:spacing w:after="240"/>
              <w:jc w:val="both"/>
            </w:pPr>
            <w:r>
              <w:t>Create p</w:t>
            </w:r>
            <w:r w:rsidR="004737D2" w:rsidRPr="00EA2D5B">
              <w:t xml:space="preserve">rocedures for </w:t>
            </w:r>
            <w:r>
              <w:t xml:space="preserve">the handling of any </w:t>
            </w:r>
            <w:r w:rsidR="004737D2" w:rsidRPr="00EA2D5B">
              <w:t>equipment</w:t>
            </w:r>
            <w:r>
              <w:t xml:space="preserve"> in line with school policy (e.g.: laptops, sensory resources, hoists, etc)</w:t>
            </w:r>
          </w:p>
          <w:p w14:paraId="6253FE66" w14:textId="77777777" w:rsidR="004737D2" w:rsidRPr="00EA2D5B" w:rsidRDefault="00341CCE" w:rsidP="00C7635F">
            <w:pPr>
              <w:spacing w:after="240"/>
              <w:jc w:val="both"/>
            </w:pPr>
            <w:r>
              <w:t xml:space="preserve">Establish clear procedures to follow </w:t>
            </w:r>
            <w:r w:rsidR="004737D2" w:rsidRPr="00EA2D5B">
              <w:t>when a pupil is unwell or not coping</w:t>
            </w:r>
            <w:r>
              <w:t xml:space="preserve"> in line with school policy</w:t>
            </w:r>
          </w:p>
        </w:tc>
        <w:tc>
          <w:tcPr>
            <w:tcW w:w="2692" w:type="dxa"/>
          </w:tcPr>
          <w:p w14:paraId="4B5372C9" w14:textId="77777777" w:rsidR="004737D2" w:rsidRPr="00EA2D5B" w:rsidRDefault="004737D2" w:rsidP="00C7635F">
            <w:pPr>
              <w:spacing w:after="240"/>
              <w:jc w:val="both"/>
            </w:pPr>
          </w:p>
        </w:tc>
        <w:tc>
          <w:tcPr>
            <w:tcW w:w="2692" w:type="dxa"/>
          </w:tcPr>
          <w:p w14:paraId="5B6759CA" w14:textId="77777777" w:rsidR="004737D2" w:rsidRPr="00EA2D5B" w:rsidRDefault="004737D2" w:rsidP="00C7635F">
            <w:pPr>
              <w:spacing w:after="240"/>
              <w:jc w:val="both"/>
            </w:pPr>
          </w:p>
        </w:tc>
        <w:tc>
          <w:tcPr>
            <w:tcW w:w="2693" w:type="dxa"/>
          </w:tcPr>
          <w:p w14:paraId="26EC933E" w14:textId="77777777" w:rsidR="004737D2" w:rsidRPr="00EA2D5B" w:rsidRDefault="004737D2" w:rsidP="00C7635F">
            <w:pPr>
              <w:spacing w:after="240"/>
              <w:jc w:val="both"/>
            </w:pPr>
          </w:p>
        </w:tc>
      </w:tr>
      <w:tr w:rsidR="004737D2" w:rsidRPr="00EA2D5B" w14:paraId="485FD58A" w14:textId="77777777" w:rsidTr="00C7515B">
        <w:tc>
          <w:tcPr>
            <w:tcW w:w="1985" w:type="dxa"/>
            <w:shd w:val="clear" w:color="auto" w:fill="009999"/>
          </w:tcPr>
          <w:p w14:paraId="20B0215D" w14:textId="77777777" w:rsidR="004737D2" w:rsidRPr="008B0317" w:rsidRDefault="004737D2" w:rsidP="00A61B65">
            <w:pPr>
              <w:pStyle w:val="Heading1"/>
              <w:tabs>
                <w:tab w:val="left" w:pos="1134"/>
              </w:tabs>
              <w:outlineLvl w:val="0"/>
              <w:rPr>
                <w:rFonts w:asciiTheme="minorHAnsi" w:hAnsiTheme="minorHAnsi"/>
                <w:color w:val="FFFFFF" w:themeColor="background1"/>
                <w:sz w:val="24"/>
                <w:szCs w:val="24"/>
              </w:rPr>
            </w:pPr>
            <w:r w:rsidRPr="008B0317">
              <w:rPr>
                <w:rFonts w:asciiTheme="minorHAnsi" w:hAnsiTheme="minorHAnsi"/>
                <w:color w:val="FFFFFF" w:themeColor="background1"/>
                <w:sz w:val="24"/>
                <w:szCs w:val="24"/>
              </w:rPr>
              <w:t xml:space="preserve"> Other</w:t>
            </w:r>
          </w:p>
          <w:p w14:paraId="1FFCBCA9" w14:textId="77777777" w:rsidR="004737D2" w:rsidRPr="008B0317" w:rsidRDefault="004737D2" w:rsidP="00C7635F">
            <w:pPr>
              <w:spacing w:after="240"/>
              <w:jc w:val="both"/>
              <w:rPr>
                <w:rFonts w:cstheme="minorHAnsi"/>
                <w:sz w:val="24"/>
                <w:szCs w:val="24"/>
              </w:rPr>
            </w:pPr>
          </w:p>
        </w:tc>
        <w:tc>
          <w:tcPr>
            <w:tcW w:w="5673" w:type="dxa"/>
          </w:tcPr>
          <w:p w14:paraId="3DDE6AFF" w14:textId="77777777" w:rsidR="004737D2" w:rsidRDefault="004737D2" w:rsidP="00C7635F">
            <w:pPr>
              <w:spacing w:after="240"/>
              <w:jc w:val="both"/>
            </w:pPr>
          </w:p>
          <w:p w14:paraId="18BB9D0B" w14:textId="77777777" w:rsidR="00341CCE" w:rsidRDefault="00341CCE" w:rsidP="00C7635F">
            <w:pPr>
              <w:spacing w:after="240"/>
              <w:jc w:val="both"/>
            </w:pPr>
          </w:p>
          <w:p w14:paraId="708471C1" w14:textId="77777777" w:rsidR="00341CCE" w:rsidRPr="00EA2D5B" w:rsidRDefault="00341CCE" w:rsidP="00C7635F">
            <w:pPr>
              <w:spacing w:after="240"/>
              <w:jc w:val="both"/>
            </w:pPr>
          </w:p>
        </w:tc>
        <w:tc>
          <w:tcPr>
            <w:tcW w:w="2692" w:type="dxa"/>
          </w:tcPr>
          <w:p w14:paraId="240CF340" w14:textId="77777777" w:rsidR="004737D2" w:rsidRPr="00EA2D5B" w:rsidRDefault="004737D2" w:rsidP="00C7635F">
            <w:pPr>
              <w:spacing w:after="240"/>
              <w:jc w:val="both"/>
            </w:pPr>
          </w:p>
        </w:tc>
        <w:tc>
          <w:tcPr>
            <w:tcW w:w="2692" w:type="dxa"/>
          </w:tcPr>
          <w:p w14:paraId="1FDC94BA" w14:textId="77777777" w:rsidR="004737D2" w:rsidRPr="00EA2D5B" w:rsidRDefault="004737D2" w:rsidP="00C7635F">
            <w:pPr>
              <w:spacing w:after="240"/>
              <w:jc w:val="both"/>
            </w:pPr>
          </w:p>
        </w:tc>
        <w:tc>
          <w:tcPr>
            <w:tcW w:w="2693" w:type="dxa"/>
          </w:tcPr>
          <w:p w14:paraId="6C425911" w14:textId="77777777" w:rsidR="004737D2" w:rsidRPr="00EA2D5B" w:rsidRDefault="004737D2" w:rsidP="00C7635F">
            <w:pPr>
              <w:spacing w:after="240"/>
              <w:jc w:val="both"/>
            </w:pPr>
          </w:p>
        </w:tc>
      </w:tr>
    </w:tbl>
    <w:p w14:paraId="1F8FEC6C" w14:textId="77777777" w:rsidR="00576FF1" w:rsidRPr="00EA2D5B" w:rsidRDefault="00576FF1" w:rsidP="00C7635F">
      <w:pPr>
        <w:spacing w:after="240"/>
        <w:jc w:val="both"/>
      </w:pPr>
    </w:p>
    <w:sectPr w:rsidR="00576FF1" w:rsidRPr="00EA2D5B" w:rsidSect="00321832">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27542" w14:textId="77777777" w:rsidR="007C4680" w:rsidRDefault="007C4680" w:rsidP="006A665D">
      <w:pPr>
        <w:spacing w:after="0" w:line="240" w:lineRule="auto"/>
      </w:pPr>
      <w:r>
        <w:separator/>
      </w:r>
    </w:p>
  </w:endnote>
  <w:endnote w:type="continuationSeparator" w:id="0">
    <w:p w14:paraId="093872B6" w14:textId="77777777" w:rsidR="007C4680" w:rsidRDefault="007C4680" w:rsidP="006A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B63A" w14:textId="77777777" w:rsidR="006E4FAB" w:rsidRDefault="006E4FAB">
    <w:pPr>
      <w:pStyle w:val="Footer"/>
    </w:pPr>
    <w:r>
      <w:t>Inclusion Advisory Team (IAT)</w:t>
    </w:r>
  </w:p>
  <w:p w14:paraId="5769AEAE" w14:textId="77777777" w:rsidR="006A665D" w:rsidRDefault="006A6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ED7E4" w14:textId="77777777" w:rsidR="007C4680" w:rsidRDefault="007C4680" w:rsidP="006A665D">
      <w:pPr>
        <w:spacing w:after="0" w:line="240" w:lineRule="auto"/>
      </w:pPr>
      <w:r>
        <w:separator/>
      </w:r>
    </w:p>
  </w:footnote>
  <w:footnote w:type="continuationSeparator" w:id="0">
    <w:p w14:paraId="7442B2B9" w14:textId="77777777" w:rsidR="007C4680" w:rsidRDefault="007C4680" w:rsidP="006A6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9BC7C" w14:textId="77777777" w:rsidR="006A665D" w:rsidRPr="008B0317" w:rsidRDefault="008B0317" w:rsidP="00854C44">
    <w:pPr>
      <w:pStyle w:val="Header"/>
      <w:ind w:left="-851"/>
      <w:rPr>
        <w:b/>
        <w:sz w:val="32"/>
        <w:szCs w:val="32"/>
      </w:rPr>
    </w:pPr>
    <w:r>
      <w:rPr>
        <w:b/>
        <w:sz w:val="32"/>
        <w:szCs w:val="32"/>
      </w:rPr>
      <w:t xml:space="preserve">Recovery Planning for SEND and Inclusion template </w:t>
    </w:r>
  </w:p>
  <w:p w14:paraId="1890B6B1" w14:textId="77777777" w:rsidR="006A665D" w:rsidRDefault="006A6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0B34"/>
    <w:multiLevelType w:val="hybridMultilevel"/>
    <w:tmpl w:val="6ABC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C1F80"/>
    <w:multiLevelType w:val="hybridMultilevel"/>
    <w:tmpl w:val="5ADACAF6"/>
    <w:lvl w:ilvl="0" w:tplc="AC14E6FE">
      <w:start w:val="3"/>
      <w:numFmt w:val="bullet"/>
      <w:lvlText w:val="-"/>
      <w:lvlJc w:val="left"/>
      <w:pPr>
        <w:ind w:left="1496" w:hanging="360"/>
      </w:pPr>
      <w:rPr>
        <w:rFonts w:ascii="Calibri" w:eastAsiaTheme="minorHAnsi" w:hAnsi="Calibri" w:cs="Calibri"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2" w15:restartNumberingAfterBreak="0">
    <w:nsid w:val="19300A8D"/>
    <w:multiLevelType w:val="hybridMultilevel"/>
    <w:tmpl w:val="E58A7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5C7927"/>
    <w:multiLevelType w:val="hybridMultilevel"/>
    <w:tmpl w:val="3754D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AF4C74"/>
    <w:multiLevelType w:val="hybridMultilevel"/>
    <w:tmpl w:val="A2066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254DA"/>
    <w:multiLevelType w:val="hybridMultilevel"/>
    <w:tmpl w:val="DE32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D5B31"/>
    <w:multiLevelType w:val="hybridMultilevel"/>
    <w:tmpl w:val="4A2E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442F7"/>
    <w:multiLevelType w:val="hybridMultilevel"/>
    <w:tmpl w:val="46DCD9F2"/>
    <w:lvl w:ilvl="0" w:tplc="B3AE885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459B6"/>
    <w:multiLevelType w:val="hybridMultilevel"/>
    <w:tmpl w:val="8C00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57558"/>
    <w:multiLevelType w:val="hybridMultilevel"/>
    <w:tmpl w:val="1E7A8804"/>
    <w:lvl w:ilvl="0" w:tplc="AC14E6F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0E2678"/>
    <w:multiLevelType w:val="hybridMultilevel"/>
    <w:tmpl w:val="12E40132"/>
    <w:lvl w:ilvl="0" w:tplc="AC14E6F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111B6"/>
    <w:multiLevelType w:val="hybridMultilevel"/>
    <w:tmpl w:val="2FC88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EA3CB3"/>
    <w:multiLevelType w:val="hybridMultilevel"/>
    <w:tmpl w:val="D07007CE"/>
    <w:lvl w:ilvl="0" w:tplc="9FAE5074">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F1F52FD"/>
    <w:multiLevelType w:val="hybridMultilevel"/>
    <w:tmpl w:val="F0F0D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25373D"/>
    <w:multiLevelType w:val="hybridMultilevel"/>
    <w:tmpl w:val="98D00BB4"/>
    <w:lvl w:ilvl="0" w:tplc="9FAE5074">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05B02"/>
    <w:multiLevelType w:val="hybridMultilevel"/>
    <w:tmpl w:val="42F650BC"/>
    <w:lvl w:ilvl="0" w:tplc="9FAE5074">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621E49"/>
    <w:multiLevelType w:val="hybridMultilevel"/>
    <w:tmpl w:val="0D24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4"/>
  </w:num>
  <w:num w:numId="10">
    <w:abstractNumId w:val="0"/>
  </w:num>
  <w:num w:numId="11">
    <w:abstractNumId w:val="12"/>
  </w:num>
  <w:num w:numId="12">
    <w:abstractNumId w:val="14"/>
  </w:num>
  <w:num w:numId="13">
    <w:abstractNumId w:val="16"/>
  </w:num>
  <w:num w:numId="14">
    <w:abstractNumId w:val="6"/>
  </w:num>
  <w:num w:numId="15">
    <w:abstractNumId w:val="15"/>
  </w:num>
  <w:num w:numId="16">
    <w:abstractNumId w:val="9"/>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98"/>
    <w:rsid w:val="00067C33"/>
    <w:rsid w:val="00077E54"/>
    <w:rsid w:val="00086DF4"/>
    <w:rsid w:val="000B2CE8"/>
    <w:rsid w:val="00112C48"/>
    <w:rsid w:val="00123209"/>
    <w:rsid w:val="00143085"/>
    <w:rsid w:val="001B266C"/>
    <w:rsid w:val="002B58CB"/>
    <w:rsid w:val="002C1EF2"/>
    <w:rsid w:val="002D76FF"/>
    <w:rsid w:val="00321832"/>
    <w:rsid w:val="00327DF3"/>
    <w:rsid w:val="00341CCE"/>
    <w:rsid w:val="003717BE"/>
    <w:rsid w:val="0037607C"/>
    <w:rsid w:val="00382904"/>
    <w:rsid w:val="003D251F"/>
    <w:rsid w:val="003E1D59"/>
    <w:rsid w:val="003E3F96"/>
    <w:rsid w:val="0041083D"/>
    <w:rsid w:val="004601FB"/>
    <w:rsid w:val="004737D2"/>
    <w:rsid w:val="00474E03"/>
    <w:rsid w:val="004D2953"/>
    <w:rsid w:val="004E4151"/>
    <w:rsid w:val="004F4427"/>
    <w:rsid w:val="005211C0"/>
    <w:rsid w:val="00532C48"/>
    <w:rsid w:val="00546CC8"/>
    <w:rsid w:val="00571A7B"/>
    <w:rsid w:val="0057572B"/>
    <w:rsid w:val="00576FF1"/>
    <w:rsid w:val="005859B8"/>
    <w:rsid w:val="00594A58"/>
    <w:rsid w:val="005C3490"/>
    <w:rsid w:val="005C4BE4"/>
    <w:rsid w:val="005D67DC"/>
    <w:rsid w:val="005E035C"/>
    <w:rsid w:val="00601C07"/>
    <w:rsid w:val="006078BC"/>
    <w:rsid w:val="006747D8"/>
    <w:rsid w:val="0069452C"/>
    <w:rsid w:val="006A2E35"/>
    <w:rsid w:val="006A665D"/>
    <w:rsid w:val="006D7ECE"/>
    <w:rsid w:val="006E4FAB"/>
    <w:rsid w:val="006F738C"/>
    <w:rsid w:val="00776C99"/>
    <w:rsid w:val="0079051A"/>
    <w:rsid w:val="00796E20"/>
    <w:rsid w:val="007C058B"/>
    <w:rsid w:val="007C4680"/>
    <w:rsid w:val="007E6545"/>
    <w:rsid w:val="007F593A"/>
    <w:rsid w:val="007F7ABB"/>
    <w:rsid w:val="00805D3C"/>
    <w:rsid w:val="00841978"/>
    <w:rsid w:val="0084444B"/>
    <w:rsid w:val="00854C44"/>
    <w:rsid w:val="00863BE3"/>
    <w:rsid w:val="008B0317"/>
    <w:rsid w:val="008B05C4"/>
    <w:rsid w:val="008B7586"/>
    <w:rsid w:val="008D1B96"/>
    <w:rsid w:val="008D680A"/>
    <w:rsid w:val="00986B13"/>
    <w:rsid w:val="00A1795F"/>
    <w:rsid w:val="00A61B65"/>
    <w:rsid w:val="00A770F4"/>
    <w:rsid w:val="00AC556B"/>
    <w:rsid w:val="00AC5642"/>
    <w:rsid w:val="00B21276"/>
    <w:rsid w:val="00B232EB"/>
    <w:rsid w:val="00C21979"/>
    <w:rsid w:val="00C440CF"/>
    <w:rsid w:val="00C5152A"/>
    <w:rsid w:val="00C60C49"/>
    <w:rsid w:val="00C7515B"/>
    <w:rsid w:val="00C7635F"/>
    <w:rsid w:val="00C90519"/>
    <w:rsid w:val="00CB13CF"/>
    <w:rsid w:val="00CC6FBF"/>
    <w:rsid w:val="00D05FDE"/>
    <w:rsid w:val="00D14602"/>
    <w:rsid w:val="00D53204"/>
    <w:rsid w:val="00D7481D"/>
    <w:rsid w:val="00DA1F6F"/>
    <w:rsid w:val="00E05E9A"/>
    <w:rsid w:val="00E44887"/>
    <w:rsid w:val="00E57D4E"/>
    <w:rsid w:val="00E77721"/>
    <w:rsid w:val="00EA2D5B"/>
    <w:rsid w:val="00F079DC"/>
    <w:rsid w:val="00F27ACA"/>
    <w:rsid w:val="00F62FC2"/>
    <w:rsid w:val="00FB04BF"/>
    <w:rsid w:val="00FB707E"/>
    <w:rsid w:val="00FE6BA4"/>
    <w:rsid w:val="00FF6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1E995"/>
  <w15:chartTrackingRefBased/>
  <w15:docId w15:val="{B6EF1AFE-F5F7-4A64-93A2-51EBA4E6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link w:val="Heading1Char"/>
    <w:uiPriority w:val="9"/>
    <w:qFormat/>
    <w:rsid w:val="006A665D"/>
    <w:pPr>
      <w:widowControl w:val="0"/>
      <w:spacing w:after="0" w:line="240" w:lineRule="auto"/>
      <w:ind w:right="261"/>
      <w:outlineLvl w:val="0"/>
    </w:pPr>
    <w:rPr>
      <w:rFonts w:ascii="Rockwell" w:hAnsi="Rockwell" w:cstheme="minorHAnsi"/>
      <w:b/>
      <w:bCs/>
      <w:color w:val="000000"/>
      <w:kern w:val="28"/>
      <w:sz w:val="48"/>
      <w:szCs w:val="48"/>
      <w14:cntxtAlts/>
    </w:rPr>
  </w:style>
  <w:style w:type="paragraph" w:styleId="Heading3">
    <w:name w:val="heading 3"/>
    <w:basedOn w:val="Normal"/>
    <w:next w:val="Normal"/>
    <w:link w:val="Heading3Char"/>
    <w:uiPriority w:val="9"/>
    <w:semiHidden/>
    <w:unhideWhenUsed/>
    <w:qFormat/>
    <w:rsid w:val="00D146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FDE"/>
    <w:pPr>
      <w:ind w:left="720"/>
      <w:contextualSpacing/>
    </w:pPr>
  </w:style>
  <w:style w:type="paragraph" w:styleId="Header">
    <w:name w:val="header"/>
    <w:basedOn w:val="Normal"/>
    <w:link w:val="HeaderChar"/>
    <w:uiPriority w:val="99"/>
    <w:unhideWhenUsed/>
    <w:rsid w:val="006A6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65D"/>
  </w:style>
  <w:style w:type="paragraph" w:styleId="Footer">
    <w:name w:val="footer"/>
    <w:basedOn w:val="Normal"/>
    <w:link w:val="FooterChar"/>
    <w:uiPriority w:val="99"/>
    <w:unhideWhenUsed/>
    <w:rsid w:val="006A6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65D"/>
  </w:style>
  <w:style w:type="character" w:customStyle="1" w:styleId="Heading1Char">
    <w:name w:val="Heading 1 Char"/>
    <w:basedOn w:val="DefaultParagraphFont"/>
    <w:link w:val="Heading1"/>
    <w:uiPriority w:val="9"/>
    <w:rsid w:val="006A665D"/>
    <w:rPr>
      <w:rFonts w:ascii="Rockwell" w:hAnsi="Rockwell" w:cstheme="minorHAnsi"/>
      <w:b/>
      <w:bCs/>
      <w:color w:val="000000"/>
      <w:kern w:val="28"/>
      <w:sz w:val="48"/>
      <w:szCs w:val="48"/>
      <w14:cntxtAlts/>
    </w:rPr>
  </w:style>
  <w:style w:type="character" w:styleId="Hyperlink">
    <w:name w:val="Hyperlink"/>
    <w:basedOn w:val="DefaultParagraphFont"/>
    <w:uiPriority w:val="99"/>
    <w:unhideWhenUsed/>
    <w:rsid w:val="00F62FC2"/>
    <w:rPr>
      <w:color w:val="0563C1" w:themeColor="hyperlink"/>
      <w:u w:val="single"/>
    </w:rPr>
  </w:style>
  <w:style w:type="character" w:styleId="UnresolvedMention">
    <w:name w:val="Unresolved Mention"/>
    <w:basedOn w:val="DefaultParagraphFont"/>
    <w:uiPriority w:val="99"/>
    <w:semiHidden/>
    <w:unhideWhenUsed/>
    <w:rsid w:val="00F62FC2"/>
    <w:rPr>
      <w:color w:val="808080"/>
      <w:shd w:val="clear" w:color="auto" w:fill="E6E6E6"/>
    </w:rPr>
  </w:style>
  <w:style w:type="character" w:customStyle="1" w:styleId="Heading3Char">
    <w:name w:val="Heading 3 Char"/>
    <w:basedOn w:val="DefaultParagraphFont"/>
    <w:link w:val="Heading3"/>
    <w:uiPriority w:val="9"/>
    <w:semiHidden/>
    <w:rsid w:val="00D1460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546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86B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5888">
      <w:bodyDiv w:val="1"/>
      <w:marLeft w:val="0"/>
      <w:marRight w:val="0"/>
      <w:marTop w:val="0"/>
      <w:marBottom w:val="0"/>
      <w:divBdr>
        <w:top w:val="none" w:sz="0" w:space="0" w:color="auto"/>
        <w:left w:val="none" w:sz="0" w:space="0" w:color="auto"/>
        <w:bottom w:val="none" w:sz="0" w:space="0" w:color="auto"/>
        <w:right w:val="none" w:sz="0" w:space="0" w:color="auto"/>
      </w:divBdr>
    </w:div>
    <w:div w:id="6618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892AD-D01C-D943-B743-9E56D4DE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 Inclusion Advisory Teachers</dc:creator>
  <cp:keywords/>
  <dc:description/>
  <cp:lastModifiedBy>Samantha Rothwell</cp:lastModifiedBy>
  <cp:revision>2</cp:revision>
  <dcterms:created xsi:type="dcterms:W3CDTF">2020-06-03T16:42:00Z</dcterms:created>
  <dcterms:modified xsi:type="dcterms:W3CDTF">2020-06-03T16:42:00Z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1836709788</vt:i4>
  </property>
  <property fmtid="{D5CDD505-2E9C-101B-9397-08002B2CF9AE}" pid="3" name="_NewReviewCycle">
    <vt:lpwstr/>
  </property>
  <property fmtid="{D5CDD505-2E9C-101B-9397-08002B2CF9AE}" pid="4" name="_EmailSubject">
    <vt:lpwstr>Recovery Planning</vt:lpwstr>
  </property>
  <property fmtid="{D5CDD505-2E9C-101B-9397-08002B2CF9AE}" pid="5" name="_AuthorEmail">
    <vt:lpwstr>Samantha.Rothwell@Barnet.gov.uk</vt:lpwstr>
  </property>
  <property fmtid="{D5CDD505-2E9C-101B-9397-08002B2CF9AE}" pid="6" name="_AuthorEmailDisplayName">
    <vt:lpwstr>Rothwell, Samantha</vt:lpwstr>
  </property>
  <property fmtid="{D5CDD505-2E9C-101B-9397-08002B2CF9AE}" pid="7" name="_PreviousAdHocReviewCycleID">
    <vt:i4>1089397121</vt:i4>
  </property>
</Properties>
</file>